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9FFCB" w14:textId="4D7B063F" w:rsidR="008C70F9" w:rsidRPr="001A5A96" w:rsidRDefault="00457F16" w:rsidP="00330453">
      <w:pPr>
        <w:jc w:val="center"/>
        <w:rPr>
          <w:b/>
          <w:sz w:val="28"/>
          <w:szCs w:val="28"/>
        </w:rPr>
      </w:pPr>
      <w:r w:rsidRPr="001A5A96">
        <w:rPr>
          <w:b/>
          <w:sz w:val="28"/>
          <w:szCs w:val="28"/>
        </w:rPr>
        <w:t>Memorandum of Understanding</w:t>
      </w:r>
    </w:p>
    <w:p w14:paraId="03AB7043" w14:textId="71D2135F" w:rsidR="001A5A96" w:rsidRPr="001A5A96" w:rsidRDefault="001A5A96" w:rsidP="00330453">
      <w:pPr>
        <w:jc w:val="center"/>
        <w:rPr>
          <w:b/>
          <w:sz w:val="28"/>
          <w:szCs w:val="28"/>
        </w:rPr>
      </w:pPr>
      <w:r w:rsidRPr="001A5A96">
        <w:rPr>
          <w:b/>
          <w:sz w:val="28"/>
          <w:szCs w:val="28"/>
        </w:rPr>
        <w:t>Regarding Revised Title IX Policies</w:t>
      </w:r>
    </w:p>
    <w:p w14:paraId="2716DE66" w14:textId="77777777" w:rsidR="007B6FF2" w:rsidRPr="00AE4086" w:rsidRDefault="007B6FF2"/>
    <w:p w14:paraId="335EA5C1" w14:textId="1043A2BB" w:rsidR="007B6FF2" w:rsidRPr="00AE4086" w:rsidRDefault="00457F16" w:rsidP="006D00BE">
      <w:r w:rsidRPr="00AE4086">
        <w:t xml:space="preserve">The purpose of this Memorandum of Understanding between </w:t>
      </w:r>
      <w:r w:rsidR="006D00BE" w:rsidRPr="00AE4086">
        <w:t xml:space="preserve">the </w:t>
      </w:r>
      <w:r w:rsidR="00B455A3" w:rsidRPr="00AE4086">
        <w:t xml:space="preserve">United Faculty of </w:t>
      </w:r>
      <w:r w:rsidR="002E590D">
        <w:t>Evergreen</w:t>
      </w:r>
      <w:r w:rsidR="00E549C2" w:rsidRPr="00AE4086">
        <w:t xml:space="preserve"> </w:t>
      </w:r>
      <w:r w:rsidR="00B455A3" w:rsidRPr="00AE4086">
        <w:t>(</w:t>
      </w:r>
      <w:r w:rsidR="002E590D">
        <w:t>“UFE”</w:t>
      </w:r>
      <w:r w:rsidR="00B455A3" w:rsidRPr="00AE4086">
        <w:t xml:space="preserve">), and </w:t>
      </w:r>
      <w:r w:rsidR="002E590D">
        <w:t>The Evergreen State College</w:t>
      </w:r>
      <w:r w:rsidR="00B455A3" w:rsidRPr="00AE4086">
        <w:t xml:space="preserve"> </w:t>
      </w:r>
      <w:r w:rsidR="000A1D86" w:rsidRPr="00AE4086">
        <w:t>(</w:t>
      </w:r>
      <w:r w:rsidR="002E590D">
        <w:t>“Evergreen”</w:t>
      </w:r>
      <w:r w:rsidR="000A1D86" w:rsidRPr="00AE4086">
        <w:t>)</w:t>
      </w:r>
      <w:r w:rsidR="00BA0CC0" w:rsidRPr="00AE4086">
        <w:t xml:space="preserve"> </w:t>
      </w:r>
      <w:r w:rsidRPr="00AE4086">
        <w:t xml:space="preserve">is to memorialize </w:t>
      </w:r>
      <w:r w:rsidR="006F18BD" w:rsidRPr="00AE4086">
        <w:t>a</w:t>
      </w:r>
      <w:r w:rsidR="001A75AA" w:rsidRPr="00AE4086">
        <w:t xml:space="preserve">n agreement to </w:t>
      </w:r>
      <w:r w:rsidR="00460C5E" w:rsidRPr="00460C5E">
        <w:t xml:space="preserve">modify their </w:t>
      </w:r>
      <w:r w:rsidR="001A5A96">
        <w:t xml:space="preserve">current </w:t>
      </w:r>
      <w:r w:rsidR="00460C5E" w:rsidRPr="00460C5E">
        <w:t>collective bargaining agreemen</w:t>
      </w:r>
      <w:r w:rsidR="00460C5E">
        <w:t>t</w:t>
      </w:r>
      <w:r w:rsidR="001A5A96">
        <w:t xml:space="preserve"> </w:t>
      </w:r>
      <w:r w:rsidR="00E549C2" w:rsidRPr="00AE4086">
        <w:t>(</w:t>
      </w:r>
      <w:r w:rsidR="002E590D">
        <w:t>the “Agreement”</w:t>
      </w:r>
      <w:r w:rsidR="00E549C2" w:rsidRPr="00AE4086">
        <w:t>).</w:t>
      </w:r>
    </w:p>
    <w:p w14:paraId="5109A784" w14:textId="47BB1794" w:rsidR="0078786F" w:rsidRDefault="0078786F"/>
    <w:p w14:paraId="6F845D35" w14:textId="77777777" w:rsidR="001A5A96" w:rsidRDefault="001A5A96"/>
    <w:p w14:paraId="7E9D90B7" w14:textId="77777777" w:rsidR="00D40E18" w:rsidRPr="00AE4086" w:rsidRDefault="00D40E18" w:rsidP="00D40E18">
      <w:pPr>
        <w:jc w:val="center"/>
        <w:rPr>
          <w:b/>
        </w:rPr>
      </w:pPr>
      <w:r w:rsidRPr="00AE4086">
        <w:rPr>
          <w:b/>
        </w:rPr>
        <w:t>Recitals</w:t>
      </w:r>
    </w:p>
    <w:p w14:paraId="21362B17" w14:textId="77777777" w:rsidR="00D40E18" w:rsidRDefault="00D40E18"/>
    <w:p w14:paraId="1FA1D5CA" w14:textId="64250EDD" w:rsidR="00D40E18" w:rsidRDefault="00D40E18" w:rsidP="00D40E18">
      <w:r>
        <w:t xml:space="preserve">As an institution of higher education that benefits from federal funding, the </w:t>
      </w:r>
      <w:r w:rsidR="00E45B51">
        <w:t>College</w:t>
      </w:r>
      <w:r>
        <w:t xml:space="preserve"> is obligated to comply with </w:t>
      </w:r>
      <w:r w:rsidRPr="00A25380">
        <w:t>Title IX of the Education Amendments Act of 1972</w:t>
      </w:r>
      <w:r>
        <w:t xml:space="preserve">.  Regulations enforcing that statute obligate the </w:t>
      </w:r>
      <w:r w:rsidR="00E45B51">
        <w:t>College</w:t>
      </w:r>
      <w:r>
        <w:t xml:space="preserve"> to adopt policies and procedures </w:t>
      </w:r>
      <w:r w:rsidRPr="00A25380">
        <w:t xml:space="preserve">to prevent and respond to sexual </w:t>
      </w:r>
      <w:r>
        <w:t>harassment/</w:t>
      </w:r>
      <w:r w:rsidRPr="00A25380">
        <w:t>violence</w:t>
      </w:r>
      <w:r w:rsidR="008E3EFA">
        <w:t xml:space="preserve">, </w:t>
      </w:r>
      <w:r w:rsidRPr="00A25380">
        <w:t>to train</w:t>
      </w:r>
      <w:r w:rsidR="008E3EFA">
        <w:t xml:space="preserve"> </w:t>
      </w:r>
      <w:r w:rsidR="008E3EFA" w:rsidRPr="008E3EFA">
        <w:t>employees and students in their rights and responsibilities under Title IX</w:t>
      </w:r>
      <w:r w:rsidRPr="00A25380">
        <w:t xml:space="preserve">, </w:t>
      </w:r>
      <w:r w:rsidR="008E3EFA">
        <w:t xml:space="preserve">and to </w:t>
      </w:r>
      <w:r w:rsidRPr="00A25380">
        <w:t xml:space="preserve">properly process, investigate, and adjudicate sexual misconduct allegations. </w:t>
      </w:r>
      <w:r>
        <w:t xml:space="preserve"> Effective August 14, 2020, the regulations articulating these obligations were materially changed.  </w:t>
      </w:r>
      <w:r w:rsidRPr="00A25380">
        <w:rPr>
          <w:i/>
        </w:rPr>
        <w:t>See</w:t>
      </w:r>
      <w:r>
        <w:t xml:space="preserve"> </w:t>
      </w:r>
      <w:r w:rsidRPr="00A25380">
        <w:t>34 C.F.R. § 106</w:t>
      </w:r>
      <w:r>
        <w:t xml:space="preserve">.  As required, the </w:t>
      </w:r>
      <w:r w:rsidR="00E45B51">
        <w:t>College</w:t>
      </w:r>
      <w:r>
        <w:t xml:space="preserve"> has changed its policies and procedures to comply with the new regulations.</w:t>
      </w:r>
    </w:p>
    <w:p w14:paraId="1E937A74" w14:textId="77777777" w:rsidR="00D40E18" w:rsidRDefault="00D40E18" w:rsidP="00D40E18"/>
    <w:p w14:paraId="1ACD8657" w14:textId="3AD35944" w:rsidR="00D40E18" w:rsidRDefault="00D40E18" w:rsidP="00D40E18">
      <w:r>
        <w:t xml:space="preserve">The new regulations include detailed provisions applicable to the filing of complaints alleging sexual harassment/violence actionable under Title IX, the investigation of those complaints, the procedure for making disciplinary decisions based on a Title IX complaint, and the process for the appeal of any such discipline.  In a situation where a faculty member is accused of sexual harassment/violence in a manner actionable under Title IX, the new regulations require the </w:t>
      </w:r>
      <w:r w:rsidR="00E45B51">
        <w:t>College</w:t>
      </w:r>
      <w:r>
        <w:t xml:space="preserve"> to follow processes that conflict with certain provisions of the Agreement.  Because the </w:t>
      </w:r>
      <w:r w:rsidR="00E45B51">
        <w:t>College</w:t>
      </w:r>
      <w:r>
        <w:t xml:space="preserve"> is obligated to adhere to the regulatory requirements in such circumstances, the parties have adopted this Memorandum to address the preemptive effect of the regulations where they conflict with the Agreement.  </w:t>
      </w:r>
    </w:p>
    <w:p w14:paraId="59A7750C" w14:textId="77777777" w:rsidR="00D40E18" w:rsidRPr="00450EF8" w:rsidRDefault="00D40E18" w:rsidP="00D40E18"/>
    <w:p w14:paraId="0842251B" w14:textId="77777777" w:rsidR="00D40E18" w:rsidRPr="00450EF8" w:rsidRDefault="00D40E18" w:rsidP="00D40E18">
      <w:pPr>
        <w:jc w:val="center"/>
        <w:rPr>
          <w:b/>
        </w:rPr>
      </w:pPr>
      <w:r w:rsidRPr="00450EF8">
        <w:rPr>
          <w:b/>
        </w:rPr>
        <w:t>Agreement</w:t>
      </w:r>
    </w:p>
    <w:p w14:paraId="6C9624D1" w14:textId="77777777" w:rsidR="00D40E18" w:rsidRPr="00450EF8" w:rsidRDefault="00D40E18" w:rsidP="00D40E18"/>
    <w:p w14:paraId="570F65FA" w14:textId="77777777" w:rsidR="00D40E18" w:rsidRPr="00450EF8" w:rsidRDefault="00D40E18" w:rsidP="00D40E18">
      <w:pPr>
        <w:ind w:firstLine="720"/>
      </w:pPr>
      <w:r w:rsidRPr="00450EF8">
        <w:t>Now, therefore, the parties agree as follows:</w:t>
      </w:r>
    </w:p>
    <w:p w14:paraId="04C811FF" w14:textId="77777777" w:rsidR="00D40E18" w:rsidRPr="00450EF8" w:rsidRDefault="00D40E18" w:rsidP="00D40E18"/>
    <w:p w14:paraId="0A6725E0" w14:textId="110B7C27" w:rsidR="00D40E18" w:rsidRDefault="002E590D" w:rsidP="00B657C4">
      <w:pPr>
        <w:pStyle w:val="BodyText"/>
        <w:numPr>
          <w:ilvl w:val="0"/>
          <w:numId w:val="3"/>
        </w:numPr>
        <w:tabs>
          <w:tab w:val="clear" w:pos="720"/>
        </w:tabs>
        <w:ind w:left="1440" w:hanging="720"/>
      </w:pPr>
      <w:r>
        <w:t xml:space="preserve">Article 22 of the Agreement, Discipline and Discharge, </w:t>
      </w:r>
      <w:r w:rsidR="00D40E18">
        <w:t xml:space="preserve">is amended </w:t>
      </w:r>
      <w:r w:rsidR="00DD25C1">
        <w:t xml:space="preserve">as follows: </w:t>
      </w:r>
    </w:p>
    <w:p w14:paraId="23AC52BB" w14:textId="77777777" w:rsidR="001A5A96" w:rsidRPr="00B1603B" w:rsidRDefault="001A5A96" w:rsidP="001A5A96">
      <w:pPr>
        <w:pStyle w:val="BodyText"/>
        <w:ind w:left="1440" w:hanging="720"/>
        <w:rPr>
          <w:color w:val="000000" w:themeColor="text1"/>
        </w:rPr>
      </w:pPr>
    </w:p>
    <w:p w14:paraId="00A69147" w14:textId="4B2D4B3D" w:rsidR="00DD25C1" w:rsidRPr="00B1603B" w:rsidRDefault="00DD25C1" w:rsidP="001A5A96">
      <w:pPr>
        <w:pStyle w:val="BodyText"/>
        <w:ind w:left="1440" w:hanging="720"/>
        <w:rPr>
          <w:color w:val="000000" w:themeColor="text1"/>
        </w:rPr>
      </w:pPr>
      <w:r w:rsidRPr="00B1603B">
        <w:rPr>
          <w:color w:val="000000" w:themeColor="text1"/>
        </w:rPr>
        <w:t>22.5</w:t>
      </w:r>
      <w:r w:rsidRPr="00B1603B">
        <w:rPr>
          <w:color w:val="000000" w:themeColor="text1"/>
        </w:rPr>
        <w:tab/>
      </w:r>
      <w:r w:rsidRPr="00B1603B">
        <w:rPr>
          <w:color w:val="000000" w:themeColor="text1"/>
          <w:u w:val="single"/>
        </w:rPr>
        <w:t>Right to Grieve Disciplinary Actions.</w:t>
      </w:r>
      <w:r w:rsidRPr="00B1603B">
        <w:rPr>
          <w:color w:val="000000" w:themeColor="text1"/>
        </w:rPr>
        <w:t xml:space="preserve"> UFE has the right to grieve any disciplinary action taken against a faculty member, except disciplinary decisions reached through the College’s Title IX policies described in 22.6. </w:t>
      </w:r>
    </w:p>
    <w:p w14:paraId="3224CBBB" w14:textId="77777777" w:rsidR="00D40E18" w:rsidRPr="00B1603B" w:rsidRDefault="00D40E18" w:rsidP="00D40E18">
      <w:pPr>
        <w:pStyle w:val="BodyText"/>
        <w:rPr>
          <w:color w:val="000000" w:themeColor="text1"/>
        </w:rPr>
      </w:pPr>
    </w:p>
    <w:p w14:paraId="48A8981B" w14:textId="4BEE9C7C" w:rsidR="00D40E18" w:rsidRPr="00B1603B" w:rsidRDefault="002E590D" w:rsidP="00D40E18">
      <w:pPr>
        <w:pStyle w:val="BodyText"/>
        <w:ind w:left="1440" w:right="720" w:hanging="720"/>
        <w:rPr>
          <w:color w:val="000000" w:themeColor="text1"/>
        </w:rPr>
      </w:pPr>
      <w:r w:rsidRPr="00B1603B">
        <w:rPr>
          <w:color w:val="000000" w:themeColor="text1"/>
        </w:rPr>
        <w:t>22.6</w:t>
      </w:r>
      <w:r w:rsidR="00D40E18" w:rsidRPr="00B1603B">
        <w:rPr>
          <w:color w:val="000000" w:themeColor="text1"/>
        </w:rPr>
        <w:tab/>
      </w:r>
      <w:r w:rsidR="00DD25C1" w:rsidRPr="00B1603B">
        <w:rPr>
          <w:color w:val="000000" w:themeColor="text1"/>
          <w:u w:val="single"/>
        </w:rPr>
        <w:t>Discipline under Title IX Policies and Procedures.</w:t>
      </w:r>
      <w:r w:rsidR="00DD25C1" w:rsidRPr="00B1603B">
        <w:rPr>
          <w:color w:val="000000" w:themeColor="text1"/>
        </w:rPr>
        <w:t xml:space="preserve"> </w:t>
      </w:r>
      <w:r w:rsidR="00D40E18" w:rsidRPr="00B1603B">
        <w:rPr>
          <w:color w:val="000000" w:themeColor="text1"/>
        </w:rPr>
        <w:t>Pursuant to Title IX of the Education Amendments Act of 1972, institutions of higher education are required to develop policies and procedures to prevent and respond to sexual violence</w:t>
      </w:r>
      <w:r w:rsidR="008E3EFA" w:rsidRPr="00B1603B">
        <w:rPr>
          <w:color w:val="000000" w:themeColor="text1"/>
        </w:rPr>
        <w:t>,</w:t>
      </w:r>
      <w:r w:rsidR="00D40E18" w:rsidRPr="00B1603B">
        <w:rPr>
          <w:color w:val="000000" w:themeColor="text1"/>
        </w:rPr>
        <w:t xml:space="preserve"> to train</w:t>
      </w:r>
      <w:r w:rsidR="008E3EFA" w:rsidRPr="00B1603B">
        <w:rPr>
          <w:color w:val="000000" w:themeColor="text1"/>
        </w:rPr>
        <w:t xml:space="preserve"> employees and students in </w:t>
      </w:r>
      <w:r w:rsidR="008E3EFA" w:rsidRPr="00B1603B">
        <w:rPr>
          <w:color w:val="000000" w:themeColor="text1"/>
        </w:rPr>
        <w:lastRenderedPageBreak/>
        <w:t>their rights and responsibilities under Title IX</w:t>
      </w:r>
      <w:r w:rsidR="00D40E18" w:rsidRPr="00B1603B">
        <w:rPr>
          <w:color w:val="000000" w:themeColor="text1"/>
        </w:rPr>
        <w:t xml:space="preserve">, </w:t>
      </w:r>
      <w:r w:rsidR="008E3EFA" w:rsidRPr="00B1603B">
        <w:rPr>
          <w:color w:val="000000" w:themeColor="text1"/>
        </w:rPr>
        <w:t xml:space="preserve">and to </w:t>
      </w:r>
      <w:r w:rsidR="00D40E18" w:rsidRPr="00B1603B">
        <w:rPr>
          <w:color w:val="000000" w:themeColor="text1"/>
        </w:rPr>
        <w:t xml:space="preserve">properly process, investigate, and adjudicate sexual misconduct allegations. The Employer’s policies and procedures incorporate specific requirements of the federal law and regulations governing processing of complaints, conducting investigations and adjudications, imposing disciplinary sanctions, and resolving appeals.  Where provisions of this Agreement relating to discipline and appeals of discipline decisions conflict with policies and procedures adopted by the </w:t>
      </w:r>
      <w:r w:rsidR="00DD25C1" w:rsidRPr="00B1603B">
        <w:rPr>
          <w:color w:val="000000" w:themeColor="text1"/>
        </w:rPr>
        <w:t>College</w:t>
      </w:r>
      <w:r w:rsidR="00D40E18" w:rsidRPr="00B1603B">
        <w:rPr>
          <w:color w:val="000000" w:themeColor="text1"/>
        </w:rPr>
        <w:t xml:space="preserve"> to comply with federal laws and regulations, the </w:t>
      </w:r>
      <w:r w:rsidR="00DD25C1" w:rsidRPr="00B1603B">
        <w:rPr>
          <w:color w:val="000000" w:themeColor="text1"/>
        </w:rPr>
        <w:t xml:space="preserve">College </w:t>
      </w:r>
      <w:r w:rsidR="00D40E18" w:rsidRPr="00B1603B">
        <w:rPr>
          <w:color w:val="000000" w:themeColor="text1"/>
        </w:rPr>
        <w:t>policies and procedures preempt the conflicting provisions of this Agreement.</w:t>
      </w:r>
    </w:p>
    <w:p w14:paraId="1BF61917" w14:textId="77777777" w:rsidR="001A5A96" w:rsidRPr="00B1603B" w:rsidRDefault="001A5A96" w:rsidP="00D40E18">
      <w:pPr>
        <w:pStyle w:val="BodyText"/>
        <w:ind w:left="1440" w:right="720" w:hanging="720"/>
        <w:rPr>
          <w:color w:val="000000" w:themeColor="text1"/>
        </w:rPr>
      </w:pPr>
    </w:p>
    <w:p w14:paraId="28C18B12" w14:textId="3E50398A" w:rsidR="00D40E18" w:rsidRPr="00B1603B" w:rsidRDefault="002E590D" w:rsidP="00B657C4">
      <w:pPr>
        <w:pStyle w:val="BodyText"/>
        <w:numPr>
          <w:ilvl w:val="0"/>
          <w:numId w:val="3"/>
        </w:numPr>
        <w:tabs>
          <w:tab w:val="clear" w:pos="720"/>
        </w:tabs>
        <w:ind w:left="1440" w:hanging="720"/>
        <w:rPr>
          <w:color w:val="000000" w:themeColor="text1"/>
        </w:rPr>
      </w:pPr>
      <w:r w:rsidRPr="00B1603B">
        <w:rPr>
          <w:color w:val="000000" w:themeColor="text1"/>
        </w:rPr>
        <w:t>Article 24</w:t>
      </w:r>
      <w:r w:rsidR="00D40E18" w:rsidRPr="00B1603B">
        <w:rPr>
          <w:color w:val="000000" w:themeColor="text1"/>
        </w:rPr>
        <w:t xml:space="preserve"> of the </w:t>
      </w:r>
      <w:r w:rsidRPr="00B1603B">
        <w:rPr>
          <w:color w:val="000000" w:themeColor="text1"/>
        </w:rPr>
        <w:t xml:space="preserve">CBA, </w:t>
      </w:r>
      <w:r w:rsidR="00D40E18" w:rsidRPr="00B1603B">
        <w:rPr>
          <w:color w:val="000000" w:themeColor="text1"/>
        </w:rPr>
        <w:t xml:space="preserve">Agreement, Grievance and Complaint Procedures, is amended </w:t>
      </w:r>
      <w:r w:rsidR="00DD25C1" w:rsidRPr="00B1603B">
        <w:rPr>
          <w:color w:val="000000" w:themeColor="text1"/>
        </w:rPr>
        <w:t>to add the following</w:t>
      </w:r>
      <w:r w:rsidR="00D40E18" w:rsidRPr="00B1603B">
        <w:rPr>
          <w:color w:val="000000" w:themeColor="text1"/>
        </w:rPr>
        <w:t>:</w:t>
      </w:r>
    </w:p>
    <w:p w14:paraId="1E1752A8" w14:textId="77777777" w:rsidR="00DD25C1" w:rsidRPr="00B1603B" w:rsidRDefault="00DD25C1" w:rsidP="00040AA2">
      <w:pPr>
        <w:pStyle w:val="BodyText"/>
        <w:ind w:left="720"/>
        <w:rPr>
          <w:color w:val="000000" w:themeColor="text1"/>
        </w:rPr>
      </w:pPr>
    </w:p>
    <w:p w14:paraId="43B5A6A7" w14:textId="7D664BED" w:rsidR="00040AA2" w:rsidRPr="00B1603B" w:rsidRDefault="00DD25C1" w:rsidP="001A5A96">
      <w:pPr>
        <w:pStyle w:val="BodyText"/>
        <w:ind w:left="1440" w:hanging="720"/>
        <w:rPr>
          <w:color w:val="000000" w:themeColor="text1"/>
        </w:rPr>
      </w:pPr>
      <w:r w:rsidRPr="00B1603B">
        <w:rPr>
          <w:color w:val="000000" w:themeColor="text1"/>
        </w:rPr>
        <w:t>24.5</w:t>
      </w:r>
      <w:r w:rsidRPr="00B1603B">
        <w:rPr>
          <w:color w:val="000000" w:themeColor="text1"/>
        </w:rPr>
        <w:tab/>
        <w:t xml:space="preserve">As outlined in Articles 22.5 and 22.6 6, where provisions of this Agreement relating to discipline and appeals of discipline decisions conflict with policies and procedures adopted by the College to comply with federal laws and regulations, the College policies and procedures preempt the conflicting provisions of this Agreement. Accordingly, disciplinary decisions reached through the College’s Title IX policies are not </w:t>
      </w:r>
      <w:proofErr w:type="spellStart"/>
      <w:r w:rsidRPr="00B1603B">
        <w:rPr>
          <w:color w:val="000000" w:themeColor="text1"/>
        </w:rPr>
        <w:t>grievable</w:t>
      </w:r>
      <w:proofErr w:type="spellEnd"/>
      <w:r w:rsidRPr="00B1603B">
        <w:rPr>
          <w:color w:val="000000" w:themeColor="text1"/>
        </w:rPr>
        <w:t xml:space="preserve">. </w:t>
      </w:r>
    </w:p>
    <w:p w14:paraId="39771731" w14:textId="77777777" w:rsidR="00D40E18" w:rsidRPr="00B1603B" w:rsidRDefault="00D40E18" w:rsidP="00DD25C1">
      <w:pPr>
        <w:pStyle w:val="BodyText"/>
        <w:ind w:right="720"/>
        <w:rPr>
          <w:color w:val="000000" w:themeColor="text1"/>
        </w:rPr>
      </w:pPr>
    </w:p>
    <w:p w14:paraId="7D2D236B" w14:textId="2D83B2E7" w:rsidR="00D40E18" w:rsidRDefault="00D40E18" w:rsidP="00B05595">
      <w:pPr>
        <w:pStyle w:val="BodyText"/>
        <w:numPr>
          <w:ilvl w:val="0"/>
          <w:numId w:val="3"/>
        </w:numPr>
        <w:tabs>
          <w:tab w:val="clear" w:pos="720"/>
        </w:tabs>
        <w:ind w:left="0" w:firstLine="720"/>
      </w:pPr>
      <w:r w:rsidRPr="00B1603B">
        <w:rPr>
          <w:color w:val="000000" w:themeColor="text1"/>
        </w:rPr>
        <w:t xml:space="preserve">This Memorandum will take effect as of the date it is fully executed by the parties and will expire on the effective date of a successor </w:t>
      </w:r>
      <w:r w:rsidRPr="00450EF8">
        <w:t>to the Agreement.</w:t>
      </w:r>
    </w:p>
    <w:p w14:paraId="67F14227" w14:textId="77777777" w:rsidR="00B05595" w:rsidRPr="00450EF8" w:rsidRDefault="00B05595" w:rsidP="00B05595">
      <w:pPr>
        <w:pStyle w:val="BodyText"/>
      </w:pPr>
    </w:p>
    <w:p w14:paraId="3FDA0ABD" w14:textId="39E888F2" w:rsidR="00E91FA0" w:rsidRPr="00DD25C1" w:rsidRDefault="00457F16" w:rsidP="001B14E8">
      <w:pPr>
        <w:pStyle w:val="BodyTextLeft"/>
        <w:keepNext/>
        <w:jc w:val="left"/>
      </w:pPr>
      <w:r w:rsidRPr="00DD25C1">
        <w:t xml:space="preserve">Signed and Dated this </w:t>
      </w:r>
      <w:r w:rsidRPr="00DD25C1">
        <w:rPr>
          <w:u w:val="single"/>
        </w:rPr>
        <w:tab/>
      </w:r>
      <w:r w:rsidR="007B16FE">
        <w:rPr>
          <w:u w:val="single"/>
        </w:rPr>
        <w:t>8th</w:t>
      </w:r>
      <w:r w:rsidRPr="00DD25C1">
        <w:rPr>
          <w:u w:val="single"/>
        </w:rPr>
        <w:tab/>
      </w:r>
      <w:r w:rsidRPr="00DD25C1">
        <w:t xml:space="preserve">day of </w:t>
      </w:r>
      <w:r w:rsidRPr="00DD25C1">
        <w:rPr>
          <w:u w:val="single"/>
        </w:rPr>
        <w:tab/>
      </w:r>
      <w:r w:rsidR="007B16FE">
        <w:rPr>
          <w:u w:val="single"/>
        </w:rPr>
        <w:t>February</w:t>
      </w:r>
      <w:r w:rsidRPr="00DD25C1">
        <w:rPr>
          <w:u w:val="single"/>
        </w:rPr>
        <w:tab/>
      </w:r>
      <w:r w:rsidRPr="00DD25C1">
        <w:t>, 20</w:t>
      </w:r>
      <w:r w:rsidR="00146BCC" w:rsidRPr="00DD25C1">
        <w:t>2</w:t>
      </w:r>
      <w:r w:rsidR="00B1603B">
        <w:t>1</w:t>
      </w:r>
      <w:r w:rsidRPr="00DD25C1">
        <w:t>.</w:t>
      </w: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4416"/>
        <w:gridCol w:w="4440"/>
      </w:tblGrid>
      <w:tr w:rsidR="00080D8B" w14:paraId="218F6DFF" w14:textId="77777777" w:rsidTr="00B87B57">
        <w:trPr>
          <w:cantSplit/>
        </w:trPr>
        <w:tc>
          <w:tcPr>
            <w:tcW w:w="4416" w:type="dxa"/>
            <w:tcBorders>
              <w:right w:val="nil"/>
            </w:tcBorders>
            <w:shd w:val="clear" w:color="auto" w:fill="auto"/>
          </w:tcPr>
          <w:p w14:paraId="641116E5" w14:textId="34FE4FA7" w:rsidR="00314683" w:rsidRPr="00DD25C1" w:rsidRDefault="00DD25C1" w:rsidP="00B87B57">
            <w:pPr>
              <w:overflowPunct w:val="0"/>
              <w:autoSpaceDE w:val="0"/>
              <w:autoSpaceDN w:val="0"/>
              <w:adjustRightInd w:val="0"/>
              <w:textAlignment w:val="baseline"/>
            </w:pPr>
            <w:r w:rsidRPr="00DD25C1">
              <w:t>The Evergreen State College</w:t>
            </w:r>
          </w:p>
          <w:p w14:paraId="7EA8365D" w14:textId="63AEB912" w:rsidR="00E91FA0" w:rsidRPr="00DD25C1" w:rsidRDefault="007B16FE" w:rsidP="00B87B57">
            <w:pPr>
              <w:overflowPunct w:val="0"/>
              <w:autoSpaceDE w:val="0"/>
              <w:autoSpaceDN w:val="0"/>
              <w:adjustRightInd w:val="0"/>
              <w:textAlignment w:val="baseline"/>
              <w:rPr>
                <w:u w:val="single"/>
              </w:rPr>
            </w:pPr>
            <w:r>
              <w:rPr>
                <w:noProof/>
              </w:rPr>
              <w:drawing>
                <wp:inline distT="0" distB="0" distL="0" distR="0" wp14:anchorId="08BC778D" wp14:editId="389D1CED">
                  <wp:extent cx="13335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033" cy="468697"/>
                          </a:xfrm>
                          <a:prstGeom prst="rect">
                            <a:avLst/>
                          </a:prstGeom>
                          <a:noFill/>
                          <a:ln>
                            <a:noFill/>
                          </a:ln>
                        </pic:spPr>
                      </pic:pic>
                    </a:graphicData>
                  </a:graphic>
                </wp:inline>
              </w:drawing>
            </w:r>
            <w:r w:rsidR="00457F16" w:rsidRPr="00DD25C1">
              <w:rPr>
                <w:u w:val="single"/>
              </w:rPr>
              <w:tab/>
            </w:r>
            <w:r w:rsidR="00457F16" w:rsidRPr="00DD25C1">
              <w:rPr>
                <w:u w:val="single"/>
              </w:rPr>
              <w:tab/>
            </w:r>
            <w:r w:rsidR="00457F16" w:rsidRPr="00DD25C1">
              <w:rPr>
                <w:u w:val="single"/>
              </w:rPr>
              <w:tab/>
            </w:r>
          </w:p>
          <w:p w14:paraId="163A9290" w14:textId="1D435A85" w:rsidR="00E91FA0" w:rsidRPr="00DD25C1" w:rsidRDefault="00457F16" w:rsidP="00B87B57">
            <w:pPr>
              <w:overflowPunct w:val="0"/>
              <w:autoSpaceDE w:val="0"/>
              <w:autoSpaceDN w:val="0"/>
              <w:adjustRightInd w:val="0"/>
              <w:textAlignment w:val="baseline"/>
            </w:pPr>
            <w:r w:rsidRPr="00DD25C1">
              <w:t>By_</w:t>
            </w:r>
            <w:r w:rsidR="00DA6CD6" w:rsidRPr="00DD25C1">
              <w:t xml:space="preserve"> </w:t>
            </w:r>
            <w:r w:rsidR="007B16FE">
              <w:t>David McAvity_</w:t>
            </w:r>
            <w:r w:rsidRPr="00DD25C1">
              <w:t>_____________</w:t>
            </w:r>
          </w:p>
          <w:p w14:paraId="60154CB1" w14:textId="0FAE1931" w:rsidR="00E91FA0" w:rsidRPr="00DD25C1" w:rsidRDefault="00457F16" w:rsidP="00B87B57">
            <w:pPr>
              <w:overflowPunct w:val="0"/>
              <w:autoSpaceDE w:val="0"/>
              <w:autoSpaceDN w:val="0"/>
              <w:adjustRightInd w:val="0"/>
              <w:textAlignment w:val="baseline"/>
            </w:pPr>
            <w:proofErr w:type="spellStart"/>
            <w:r w:rsidRPr="00DD25C1">
              <w:t>Title</w:t>
            </w:r>
            <w:r w:rsidR="00CA5102" w:rsidRPr="00DD25C1">
              <w:t>_</w:t>
            </w:r>
            <w:r w:rsidR="007B16FE">
              <w:t>Interim</w:t>
            </w:r>
            <w:proofErr w:type="spellEnd"/>
            <w:r w:rsidR="007B16FE">
              <w:t xml:space="preserve"> Provost and VP for Student</w:t>
            </w:r>
          </w:p>
          <w:p w14:paraId="2C2C0CDA" w14:textId="089957B0" w:rsidR="00E91FA0" w:rsidRPr="00DD25C1" w:rsidRDefault="007B16FE" w:rsidP="00B87B57">
            <w:pPr>
              <w:overflowPunct w:val="0"/>
              <w:autoSpaceDE w:val="0"/>
              <w:autoSpaceDN w:val="0"/>
              <w:adjustRightInd w:val="0"/>
              <w:textAlignment w:val="baseline"/>
            </w:pPr>
            <w:r>
              <w:t>&amp; Academic Life</w:t>
            </w:r>
          </w:p>
        </w:tc>
        <w:tc>
          <w:tcPr>
            <w:tcW w:w="4440" w:type="dxa"/>
            <w:tcBorders>
              <w:top w:val="nil"/>
              <w:left w:val="nil"/>
              <w:bottom w:val="nil"/>
            </w:tcBorders>
            <w:shd w:val="clear" w:color="auto" w:fill="auto"/>
          </w:tcPr>
          <w:p w14:paraId="30F5C5E9" w14:textId="29F194F4" w:rsidR="00E91FA0" w:rsidRPr="00DD25C1" w:rsidRDefault="00DD25C1" w:rsidP="00B87B57">
            <w:pPr>
              <w:overflowPunct w:val="0"/>
              <w:autoSpaceDE w:val="0"/>
              <w:autoSpaceDN w:val="0"/>
              <w:adjustRightInd w:val="0"/>
              <w:textAlignment w:val="baseline"/>
            </w:pPr>
            <w:r w:rsidRPr="00DD25C1">
              <w:t>United Faculty of Evergreen</w:t>
            </w:r>
          </w:p>
          <w:p w14:paraId="33EC2B09" w14:textId="77777777" w:rsidR="00DD25C1" w:rsidRPr="00DD25C1" w:rsidRDefault="00DD25C1" w:rsidP="00B87B57">
            <w:pPr>
              <w:overflowPunct w:val="0"/>
              <w:autoSpaceDE w:val="0"/>
              <w:autoSpaceDN w:val="0"/>
              <w:adjustRightInd w:val="0"/>
              <w:textAlignment w:val="baseline"/>
            </w:pPr>
          </w:p>
          <w:p w14:paraId="5FB656C1" w14:textId="08261C93" w:rsidR="00E91FA0" w:rsidRPr="00DD25C1" w:rsidRDefault="004D4FFC" w:rsidP="00B87B57">
            <w:pPr>
              <w:overflowPunct w:val="0"/>
              <w:autoSpaceDE w:val="0"/>
              <w:autoSpaceDN w:val="0"/>
              <w:adjustRightInd w:val="0"/>
              <w:textAlignment w:val="baseline"/>
            </w:pPr>
            <w:r>
              <w:rPr>
                <w:noProof/>
              </w:rPr>
              <w:drawing>
                <wp:inline distT="0" distB="0" distL="0" distR="0" wp14:anchorId="3922DF8A" wp14:editId="12220AE7">
                  <wp:extent cx="1112995" cy="3683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1-02 at 2.52.22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7985" cy="376569"/>
                          </a:xfrm>
                          <a:prstGeom prst="rect">
                            <a:avLst/>
                          </a:prstGeom>
                        </pic:spPr>
                      </pic:pic>
                    </a:graphicData>
                  </a:graphic>
                </wp:inline>
              </w:drawing>
            </w:r>
          </w:p>
          <w:p w14:paraId="712B2584" w14:textId="77777777" w:rsidR="00E91FA0" w:rsidRPr="00DD25C1" w:rsidRDefault="00457F16" w:rsidP="00B87B57">
            <w:pPr>
              <w:overflowPunct w:val="0"/>
              <w:autoSpaceDE w:val="0"/>
              <w:autoSpaceDN w:val="0"/>
              <w:adjustRightInd w:val="0"/>
              <w:textAlignment w:val="baseline"/>
              <w:rPr>
                <w:u w:val="single"/>
              </w:rPr>
            </w:pPr>
            <w:r w:rsidRPr="00DD25C1">
              <w:rPr>
                <w:u w:val="single"/>
              </w:rPr>
              <w:tab/>
            </w:r>
            <w:bookmarkStart w:id="0" w:name="_GoBack"/>
            <w:bookmarkEnd w:id="0"/>
            <w:r w:rsidRPr="00DD25C1">
              <w:rPr>
                <w:u w:val="single"/>
              </w:rPr>
              <w:tab/>
            </w:r>
            <w:r w:rsidRPr="00DD25C1">
              <w:rPr>
                <w:u w:val="single"/>
              </w:rPr>
              <w:tab/>
            </w:r>
            <w:r w:rsidRPr="00DD25C1">
              <w:rPr>
                <w:u w:val="single"/>
              </w:rPr>
              <w:tab/>
            </w:r>
            <w:r w:rsidRPr="00DD25C1">
              <w:rPr>
                <w:u w:val="single"/>
              </w:rPr>
              <w:tab/>
            </w:r>
          </w:p>
          <w:p w14:paraId="1F4B3F60" w14:textId="5E7937CD" w:rsidR="00CA5102" w:rsidRPr="00DD25C1" w:rsidRDefault="00457F16" w:rsidP="00B87B57">
            <w:pPr>
              <w:overflowPunct w:val="0"/>
              <w:autoSpaceDE w:val="0"/>
              <w:autoSpaceDN w:val="0"/>
              <w:adjustRightInd w:val="0"/>
              <w:textAlignment w:val="baseline"/>
            </w:pPr>
            <w:proofErr w:type="spellStart"/>
            <w:r w:rsidRPr="00DD25C1">
              <w:t>By____</w:t>
            </w:r>
            <w:r w:rsidR="004D4FFC">
              <w:t>Shawn</w:t>
            </w:r>
            <w:proofErr w:type="spellEnd"/>
            <w:r w:rsidR="004D4FFC">
              <w:t xml:space="preserve"> Hazboun</w:t>
            </w:r>
          </w:p>
          <w:p w14:paraId="24CB1A9F" w14:textId="0682928A" w:rsidR="00E91FA0" w:rsidRPr="00DD25C1" w:rsidRDefault="00457F16" w:rsidP="00B87B57">
            <w:pPr>
              <w:overflowPunct w:val="0"/>
              <w:autoSpaceDE w:val="0"/>
              <w:autoSpaceDN w:val="0"/>
              <w:adjustRightInd w:val="0"/>
              <w:textAlignment w:val="baseline"/>
            </w:pPr>
            <w:proofErr w:type="spellStart"/>
            <w:r w:rsidRPr="00DD25C1">
              <w:t>Title_</w:t>
            </w:r>
            <w:r w:rsidR="00CA5102" w:rsidRPr="00DD25C1">
              <w:t>____</w:t>
            </w:r>
            <w:r w:rsidR="004D4FFC">
              <w:t>Chair</w:t>
            </w:r>
            <w:proofErr w:type="spellEnd"/>
            <w:r w:rsidR="00CA5102" w:rsidRPr="00DD25C1">
              <w:t>____________</w:t>
            </w:r>
          </w:p>
          <w:p w14:paraId="1EC909F3" w14:textId="77777777" w:rsidR="00E91FA0" w:rsidRPr="00DD25C1" w:rsidRDefault="00E91FA0" w:rsidP="00B87B57">
            <w:pPr>
              <w:overflowPunct w:val="0"/>
              <w:autoSpaceDE w:val="0"/>
              <w:autoSpaceDN w:val="0"/>
              <w:adjustRightInd w:val="0"/>
              <w:textAlignment w:val="baseline"/>
            </w:pPr>
          </w:p>
        </w:tc>
      </w:tr>
    </w:tbl>
    <w:p w14:paraId="167B8464" w14:textId="77777777" w:rsidR="00E91FA0" w:rsidRDefault="00E91FA0"/>
    <w:sectPr w:rsidR="00E91FA0" w:rsidSect="00D1181D">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FB487" w14:textId="77777777" w:rsidR="00347074" w:rsidRDefault="00347074">
      <w:r>
        <w:separator/>
      </w:r>
    </w:p>
  </w:endnote>
  <w:endnote w:type="continuationSeparator" w:id="0">
    <w:p w14:paraId="3C2AD3AC" w14:textId="77777777" w:rsidR="00347074" w:rsidRDefault="0034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E25EB" w14:textId="77777777" w:rsidR="00314683" w:rsidRDefault="00457F16" w:rsidP="00D118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6181EA" w14:textId="77777777" w:rsidR="00314683" w:rsidRDefault="00314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5FFB5" w14:textId="77777777" w:rsidR="00314683" w:rsidRDefault="00457F16" w:rsidP="00D118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487B">
      <w:rPr>
        <w:rStyle w:val="PageNumber"/>
        <w:noProof/>
      </w:rPr>
      <w:t>1</w:t>
    </w:r>
    <w:r>
      <w:rPr>
        <w:rStyle w:val="PageNumber"/>
      </w:rPr>
      <w:fldChar w:fldCharType="end"/>
    </w:r>
  </w:p>
  <w:p w14:paraId="581FC158" w14:textId="77777777" w:rsidR="00314683" w:rsidRDefault="00314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9A6CE" w14:textId="77777777" w:rsidR="00B910BF" w:rsidRDefault="00B91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1ABD3" w14:textId="77777777" w:rsidR="00347074" w:rsidRDefault="00347074">
      <w:r>
        <w:separator/>
      </w:r>
    </w:p>
  </w:footnote>
  <w:footnote w:type="continuationSeparator" w:id="0">
    <w:p w14:paraId="2BC98208" w14:textId="77777777" w:rsidR="00347074" w:rsidRDefault="00347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7515" w14:textId="4A5CD972" w:rsidR="00B910BF" w:rsidRDefault="00B91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8FE99" w14:textId="670ED2DD" w:rsidR="00B910BF" w:rsidRDefault="00B910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B9EF4" w14:textId="01418A22" w:rsidR="00B910BF" w:rsidRDefault="00B91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9627F"/>
    <w:multiLevelType w:val="hybridMultilevel"/>
    <w:tmpl w:val="3FBA4320"/>
    <w:lvl w:ilvl="0" w:tplc="E1702826">
      <w:start w:val="1"/>
      <w:numFmt w:val="decimal"/>
      <w:lvlText w:val="%1."/>
      <w:lvlJc w:val="left"/>
      <w:pPr>
        <w:tabs>
          <w:tab w:val="num" w:pos="720"/>
        </w:tabs>
        <w:ind w:left="720" w:hanging="360"/>
      </w:pPr>
    </w:lvl>
    <w:lvl w:ilvl="1" w:tplc="85B4B5A8">
      <w:start w:val="1"/>
      <w:numFmt w:val="lowerLetter"/>
      <w:lvlText w:val="%2."/>
      <w:lvlJc w:val="left"/>
      <w:pPr>
        <w:tabs>
          <w:tab w:val="num" w:pos="1440"/>
        </w:tabs>
        <w:ind w:left="1440" w:hanging="360"/>
      </w:pPr>
    </w:lvl>
    <w:lvl w:ilvl="2" w:tplc="6866AB30" w:tentative="1">
      <w:start w:val="1"/>
      <w:numFmt w:val="lowerRoman"/>
      <w:lvlText w:val="%3."/>
      <w:lvlJc w:val="right"/>
      <w:pPr>
        <w:tabs>
          <w:tab w:val="num" w:pos="2160"/>
        </w:tabs>
        <w:ind w:left="2160" w:hanging="180"/>
      </w:pPr>
    </w:lvl>
    <w:lvl w:ilvl="3" w:tplc="EF4A6BBA" w:tentative="1">
      <w:start w:val="1"/>
      <w:numFmt w:val="decimal"/>
      <w:lvlText w:val="%4."/>
      <w:lvlJc w:val="left"/>
      <w:pPr>
        <w:tabs>
          <w:tab w:val="num" w:pos="2880"/>
        </w:tabs>
        <w:ind w:left="2880" w:hanging="360"/>
      </w:pPr>
    </w:lvl>
    <w:lvl w:ilvl="4" w:tplc="559E13BE" w:tentative="1">
      <w:start w:val="1"/>
      <w:numFmt w:val="lowerLetter"/>
      <w:lvlText w:val="%5."/>
      <w:lvlJc w:val="left"/>
      <w:pPr>
        <w:tabs>
          <w:tab w:val="num" w:pos="3600"/>
        </w:tabs>
        <w:ind w:left="3600" w:hanging="360"/>
      </w:pPr>
    </w:lvl>
    <w:lvl w:ilvl="5" w:tplc="DF545B48" w:tentative="1">
      <w:start w:val="1"/>
      <w:numFmt w:val="lowerRoman"/>
      <w:lvlText w:val="%6."/>
      <w:lvlJc w:val="right"/>
      <w:pPr>
        <w:tabs>
          <w:tab w:val="num" w:pos="4320"/>
        </w:tabs>
        <w:ind w:left="4320" w:hanging="180"/>
      </w:pPr>
    </w:lvl>
    <w:lvl w:ilvl="6" w:tplc="40BCB614" w:tentative="1">
      <w:start w:val="1"/>
      <w:numFmt w:val="decimal"/>
      <w:lvlText w:val="%7."/>
      <w:lvlJc w:val="left"/>
      <w:pPr>
        <w:tabs>
          <w:tab w:val="num" w:pos="5040"/>
        </w:tabs>
        <w:ind w:left="5040" w:hanging="360"/>
      </w:pPr>
    </w:lvl>
    <w:lvl w:ilvl="7" w:tplc="9B9C4BD6" w:tentative="1">
      <w:start w:val="1"/>
      <w:numFmt w:val="lowerLetter"/>
      <w:lvlText w:val="%8."/>
      <w:lvlJc w:val="left"/>
      <w:pPr>
        <w:tabs>
          <w:tab w:val="num" w:pos="5760"/>
        </w:tabs>
        <w:ind w:left="5760" w:hanging="360"/>
      </w:pPr>
    </w:lvl>
    <w:lvl w:ilvl="8" w:tplc="E9A896FC" w:tentative="1">
      <w:start w:val="1"/>
      <w:numFmt w:val="lowerRoman"/>
      <w:lvlText w:val="%9."/>
      <w:lvlJc w:val="right"/>
      <w:pPr>
        <w:tabs>
          <w:tab w:val="num" w:pos="6480"/>
        </w:tabs>
        <w:ind w:left="6480" w:hanging="180"/>
      </w:pPr>
    </w:lvl>
  </w:abstractNum>
  <w:abstractNum w:abstractNumId="1" w15:restartNumberingAfterBreak="0">
    <w:nsid w:val="395E0ECF"/>
    <w:multiLevelType w:val="hybridMultilevel"/>
    <w:tmpl w:val="903CB2D2"/>
    <w:lvl w:ilvl="0" w:tplc="674A0E74">
      <w:start w:val="1"/>
      <w:numFmt w:val="decimal"/>
      <w:lvlText w:val="%1."/>
      <w:lvlJc w:val="left"/>
      <w:pPr>
        <w:tabs>
          <w:tab w:val="num" w:pos="720"/>
        </w:tabs>
        <w:ind w:left="720" w:hanging="360"/>
      </w:pPr>
    </w:lvl>
    <w:lvl w:ilvl="1" w:tplc="D0B42A9E" w:tentative="1">
      <w:start w:val="1"/>
      <w:numFmt w:val="lowerLetter"/>
      <w:lvlText w:val="%2."/>
      <w:lvlJc w:val="left"/>
      <w:pPr>
        <w:tabs>
          <w:tab w:val="num" w:pos="1440"/>
        </w:tabs>
        <w:ind w:left="1440" w:hanging="360"/>
      </w:pPr>
    </w:lvl>
    <w:lvl w:ilvl="2" w:tplc="65C2420A" w:tentative="1">
      <w:start w:val="1"/>
      <w:numFmt w:val="lowerRoman"/>
      <w:lvlText w:val="%3."/>
      <w:lvlJc w:val="right"/>
      <w:pPr>
        <w:tabs>
          <w:tab w:val="num" w:pos="2160"/>
        </w:tabs>
        <w:ind w:left="2160" w:hanging="180"/>
      </w:pPr>
    </w:lvl>
    <w:lvl w:ilvl="3" w:tplc="D00C1160" w:tentative="1">
      <w:start w:val="1"/>
      <w:numFmt w:val="decimal"/>
      <w:lvlText w:val="%4."/>
      <w:lvlJc w:val="left"/>
      <w:pPr>
        <w:tabs>
          <w:tab w:val="num" w:pos="2880"/>
        </w:tabs>
        <w:ind w:left="2880" w:hanging="360"/>
      </w:pPr>
    </w:lvl>
    <w:lvl w:ilvl="4" w:tplc="EF7E385A" w:tentative="1">
      <w:start w:val="1"/>
      <w:numFmt w:val="lowerLetter"/>
      <w:lvlText w:val="%5."/>
      <w:lvlJc w:val="left"/>
      <w:pPr>
        <w:tabs>
          <w:tab w:val="num" w:pos="3600"/>
        </w:tabs>
        <w:ind w:left="3600" w:hanging="360"/>
      </w:pPr>
    </w:lvl>
    <w:lvl w:ilvl="5" w:tplc="6562D094" w:tentative="1">
      <w:start w:val="1"/>
      <w:numFmt w:val="lowerRoman"/>
      <w:lvlText w:val="%6."/>
      <w:lvlJc w:val="right"/>
      <w:pPr>
        <w:tabs>
          <w:tab w:val="num" w:pos="4320"/>
        </w:tabs>
        <w:ind w:left="4320" w:hanging="180"/>
      </w:pPr>
    </w:lvl>
    <w:lvl w:ilvl="6" w:tplc="5EE6060C" w:tentative="1">
      <w:start w:val="1"/>
      <w:numFmt w:val="decimal"/>
      <w:lvlText w:val="%7."/>
      <w:lvlJc w:val="left"/>
      <w:pPr>
        <w:tabs>
          <w:tab w:val="num" w:pos="5040"/>
        </w:tabs>
        <w:ind w:left="5040" w:hanging="360"/>
      </w:pPr>
    </w:lvl>
    <w:lvl w:ilvl="7" w:tplc="37A083F8" w:tentative="1">
      <w:start w:val="1"/>
      <w:numFmt w:val="lowerLetter"/>
      <w:lvlText w:val="%8."/>
      <w:lvlJc w:val="left"/>
      <w:pPr>
        <w:tabs>
          <w:tab w:val="num" w:pos="5760"/>
        </w:tabs>
        <w:ind w:left="5760" w:hanging="360"/>
      </w:pPr>
    </w:lvl>
    <w:lvl w:ilvl="8" w:tplc="60F882BE" w:tentative="1">
      <w:start w:val="1"/>
      <w:numFmt w:val="lowerRoman"/>
      <w:lvlText w:val="%9."/>
      <w:lvlJc w:val="right"/>
      <w:pPr>
        <w:tabs>
          <w:tab w:val="num" w:pos="6480"/>
        </w:tabs>
        <w:ind w:left="6480" w:hanging="180"/>
      </w:pPr>
    </w:lvl>
  </w:abstractNum>
  <w:abstractNum w:abstractNumId="2" w15:restartNumberingAfterBreak="0">
    <w:nsid w:val="58CF4462"/>
    <w:multiLevelType w:val="hybridMultilevel"/>
    <w:tmpl w:val="28DE1CAA"/>
    <w:lvl w:ilvl="0" w:tplc="7AA6C942">
      <w:start w:val="1"/>
      <w:numFmt w:val="decimal"/>
      <w:lvlText w:val="%1."/>
      <w:lvlJc w:val="left"/>
      <w:pPr>
        <w:tabs>
          <w:tab w:val="num" w:pos="720"/>
        </w:tabs>
        <w:ind w:left="720" w:hanging="360"/>
      </w:pPr>
    </w:lvl>
    <w:lvl w:ilvl="1" w:tplc="705E5230" w:tentative="1">
      <w:start w:val="1"/>
      <w:numFmt w:val="lowerLetter"/>
      <w:lvlText w:val="%2."/>
      <w:lvlJc w:val="left"/>
      <w:pPr>
        <w:tabs>
          <w:tab w:val="num" w:pos="1440"/>
        </w:tabs>
        <w:ind w:left="1440" w:hanging="360"/>
      </w:pPr>
    </w:lvl>
    <w:lvl w:ilvl="2" w:tplc="70B40558" w:tentative="1">
      <w:start w:val="1"/>
      <w:numFmt w:val="lowerRoman"/>
      <w:lvlText w:val="%3."/>
      <w:lvlJc w:val="right"/>
      <w:pPr>
        <w:tabs>
          <w:tab w:val="num" w:pos="2160"/>
        </w:tabs>
        <w:ind w:left="2160" w:hanging="180"/>
      </w:pPr>
    </w:lvl>
    <w:lvl w:ilvl="3" w:tplc="8108B934" w:tentative="1">
      <w:start w:val="1"/>
      <w:numFmt w:val="decimal"/>
      <w:lvlText w:val="%4."/>
      <w:lvlJc w:val="left"/>
      <w:pPr>
        <w:tabs>
          <w:tab w:val="num" w:pos="2880"/>
        </w:tabs>
        <w:ind w:left="2880" w:hanging="360"/>
      </w:pPr>
    </w:lvl>
    <w:lvl w:ilvl="4" w:tplc="B47A204A" w:tentative="1">
      <w:start w:val="1"/>
      <w:numFmt w:val="lowerLetter"/>
      <w:lvlText w:val="%5."/>
      <w:lvlJc w:val="left"/>
      <w:pPr>
        <w:tabs>
          <w:tab w:val="num" w:pos="3600"/>
        </w:tabs>
        <w:ind w:left="3600" w:hanging="360"/>
      </w:pPr>
    </w:lvl>
    <w:lvl w:ilvl="5" w:tplc="085E57EA" w:tentative="1">
      <w:start w:val="1"/>
      <w:numFmt w:val="lowerRoman"/>
      <w:lvlText w:val="%6."/>
      <w:lvlJc w:val="right"/>
      <w:pPr>
        <w:tabs>
          <w:tab w:val="num" w:pos="4320"/>
        </w:tabs>
        <w:ind w:left="4320" w:hanging="180"/>
      </w:pPr>
    </w:lvl>
    <w:lvl w:ilvl="6" w:tplc="2AC298C4" w:tentative="1">
      <w:start w:val="1"/>
      <w:numFmt w:val="decimal"/>
      <w:lvlText w:val="%7."/>
      <w:lvlJc w:val="left"/>
      <w:pPr>
        <w:tabs>
          <w:tab w:val="num" w:pos="5040"/>
        </w:tabs>
        <w:ind w:left="5040" w:hanging="360"/>
      </w:pPr>
    </w:lvl>
    <w:lvl w:ilvl="7" w:tplc="07DABA06" w:tentative="1">
      <w:start w:val="1"/>
      <w:numFmt w:val="lowerLetter"/>
      <w:lvlText w:val="%8."/>
      <w:lvlJc w:val="left"/>
      <w:pPr>
        <w:tabs>
          <w:tab w:val="num" w:pos="5760"/>
        </w:tabs>
        <w:ind w:left="5760" w:hanging="360"/>
      </w:pPr>
    </w:lvl>
    <w:lvl w:ilvl="8" w:tplc="21C4DC24" w:tentative="1">
      <w:start w:val="1"/>
      <w:numFmt w:val="lowerRoman"/>
      <w:lvlText w:val="%9."/>
      <w:lvlJc w:val="right"/>
      <w:pPr>
        <w:tabs>
          <w:tab w:val="num" w:pos="6480"/>
        </w:tabs>
        <w:ind w:left="6480" w:hanging="180"/>
      </w:pPr>
    </w:lvl>
  </w:abstractNum>
  <w:abstractNum w:abstractNumId="3" w15:restartNumberingAfterBreak="0">
    <w:nsid w:val="6C2E75BF"/>
    <w:multiLevelType w:val="hybridMultilevel"/>
    <w:tmpl w:val="3FBA4320"/>
    <w:lvl w:ilvl="0" w:tplc="E1702826">
      <w:start w:val="1"/>
      <w:numFmt w:val="decimal"/>
      <w:lvlText w:val="%1."/>
      <w:lvlJc w:val="left"/>
      <w:pPr>
        <w:tabs>
          <w:tab w:val="num" w:pos="720"/>
        </w:tabs>
        <w:ind w:left="720" w:hanging="360"/>
      </w:pPr>
    </w:lvl>
    <w:lvl w:ilvl="1" w:tplc="85B4B5A8">
      <w:start w:val="1"/>
      <w:numFmt w:val="lowerLetter"/>
      <w:lvlText w:val="%2."/>
      <w:lvlJc w:val="left"/>
      <w:pPr>
        <w:tabs>
          <w:tab w:val="num" w:pos="1440"/>
        </w:tabs>
        <w:ind w:left="1440" w:hanging="360"/>
      </w:pPr>
    </w:lvl>
    <w:lvl w:ilvl="2" w:tplc="6866AB30" w:tentative="1">
      <w:start w:val="1"/>
      <w:numFmt w:val="lowerRoman"/>
      <w:lvlText w:val="%3."/>
      <w:lvlJc w:val="right"/>
      <w:pPr>
        <w:tabs>
          <w:tab w:val="num" w:pos="2160"/>
        </w:tabs>
        <w:ind w:left="2160" w:hanging="180"/>
      </w:pPr>
    </w:lvl>
    <w:lvl w:ilvl="3" w:tplc="EF4A6BBA" w:tentative="1">
      <w:start w:val="1"/>
      <w:numFmt w:val="decimal"/>
      <w:lvlText w:val="%4."/>
      <w:lvlJc w:val="left"/>
      <w:pPr>
        <w:tabs>
          <w:tab w:val="num" w:pos="2880"/>
        </w:tabs>
        <w:ind w:left="2880" w:hanging="360"/>
      </w:pPr>
    </w:lvl>
    <w:lvl w:ilvl="4" w:tplc="559E13BE" w:tentative="1">
      <w:start w:val="1"/>
      <w:numFmt w:val="lowerLetter"/>
      <w:lvlText w:val="%5."/>
      <w:lvlJc w:val="left"/>
      <w:pPr>
        <w:tabs>
          <w:tab w:val="num" w:pos="3600"/>
        </w:tabs>
        <w:ind w:left="3600" w:hanging="360"/>
      </w:pPr>
    </w:lvl>
    <w:lvl w:ilvl="5" w:tplc="DF545B48" w:tentative="1">
      <w:start w:val="1"/>
      <w:numFmt w:val="lowerRoman"/>
      <w:lvlText w:val="%6."/>
      <w:lvlJc w:val="right"/>
      <w:pPr>
        <w:tabs>
          <w:tab w:val="num" w:pos="4320"/>
        </w:tabs>
        <w:ind w:left="4320" w:hanging="180"/>
      </w:pPr>
    </w:lvl>
    <w:lvl w:ilvl="6" w:tplc="40BCB614" w:tentative="1">
      <w:start w:val="1"/>
      <w:numFmt w:val="decimal"/>
      <w:lvlText w:val="%7."/>
      <w:lvlJc w:val="left"/>
      <w:pPr>
        <w:tabs>
          <w:tab w:val="num" w:pos="5040"/>
        </w:tabs>
        <w:ind w:left="5040" w:hanging="360"/>
      </w:pPr>
    </w:lvl>
    <w:lvl w:ilvl="7" w:tplc="9B9C4BD6" w:tentative="1">
      <w:start w:val="1"/>
      <w:numFmt w:val="lowerLetter"/>
      <w:lvlText w:val="%8."/>
      <w:lvlJc w:val="left"/>
      <w:pPr>
        <w:tabs>
          <w:tab w:val="num" w:pos="5760"/>
        </w:tabs>
        <w:ind w:left="5760" w:hanging="360"/>
      </w:pPr>
    </w:lvl>
    <w:lvl w:ilvl="8" w:tplc="E9A896FC"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98"/>
    <w:rsid w:val="00040AA2"/>
    <w:rsid w:val="00047B41"/>
    <w:rsid w:val="0007201B"/>
    <w:rsid w:val="00080D8B"/>
    <w:rsid w:val="000A1D86"/>
    <w:rsid w:val="000F40C4"/>
    <w:rsid w:val="001230F3"/>
    <w:rsid w:val="0014487B"/>
    <w:rsid w:val="00146BCC"/>
    <w:rsid w:val="00157F9A"/>
    <w:rsid w:val="00194111"/>
    <w:rsid w:val="001A1D52"/>
    <w:rsid w:val="001A5A96"/>
    <w:rsid w:val="001A75AA"/>
    <w:rsid w:val="001B0156"/>
    <w:rsid w:val="001B14E8"/>
    <w:rsid w:val="001C5E43"/>
    <w:rsid w:val="001D21CF"/>
    <w:rsid w:val="001E0F2B"/>
    <w:rsid w:val="002119F4"/>
    <w:rsid w:val="0021379E"/>
    <w:rsid w:val="00214B2D"/>
    <w:rsid w:val="00255F89"/>
    <w:rsid w:val="0026794B"/>
    <w:rsid w:val="002C1B5E"/>
    <w:rsid w:val="002E21CA"/>
    <w:rsid w:val="002E590D"/>
    <w:rsid w:val="002F7577"/>
    <w:rsid w:val="00314683"/>
    <w:rsid w:val="003168EB"/>
    <w:rsid w:val="00316B76"/>
    <w:rsid w:val="0032106D"/>
    <w:rsid w:val="00322B04"/>
    <w:rsid w:val="00324A0F"/>
    <w:rsid w:val="00330453"/>
    <w:rsid w:val="00347074"/>
    <w:rsid w:val="003A3933"/>
    <w:rsid w:val="003C1441"/>
    <w:rsid w:val="0040433F"/>
    <w:rsid w:val="00445DE3"/>
    <w:rsid w:val="004476D2"/>
    <w:rsid w:val="00457F16"/>
    <w:rsid w:val="00460C5E"/>
    <w:rsid w:val="004C01E1"/>
    <w:rsid w:val="004D4FFC"/>
    <w:rsid w:val="00500F0D"/>
    <w:rsid w:val="00514A79"/>
    <w:rsid w:val="005317CD"/>
    <w:rsid w:val="0053599D"/>
    <w:rsid w:val="00556685"/>
    <w:rsid w:val="00565C81"/>
    <w:rsid w:val="00583CAA"/>
    <w:rsid w:val="005A76C6"/>
    <w:rsid w:val="005C0A61"/>
    <w:rsid w:val="005D242B"/>
    <w:rsid w:val="005D3211"/>
    <w:rsid w:val="005E281A"/>
    <w:rsid w:val="005F7D35"/>
    <w:rsid w:val="00683AB9"/>
    <w:rsid w:val="0069496F"/>
    <w:rsid w:val="00695D77"/>
    <w:rsid w:val="006B18C9"/>
    <w:rsid w:val="006B5C71"/>
    <w:rsid w:val="006D00BE"/>
    <w:rsid w:val="006D22B0"/>
    <w:rsid w:val="006F18BD"/>
    <w:rsid w:val="007115CB"/>
    <w:rsid w:val="00714009"/>
    <w:rsid w:val="00714629"/>
    <w:rsid w:val="00740A3C"/>
    <w:rsid w:val="00747C81"/>
    <w:rsid w:val="00757629"/>
    <w:rsid w:val="00784855"/>
    <w:rsid w:val="0078786F"/>
    <w:rsid w:val="00787F8C"/>
    <w:rsid w:val="007A7B54"/>
    <w:rsid w:val="007B16FE"/>
    <w:rsid w:val="007B6FF2"/>
    <w:rsid w:val="007E4CD9"/>
    <w:rsid w:val="008031C4"/>
    <w:rsid w:val="00855B1A"/>
    <w:rsid w:val="0086077A"/>
    <w:rsid w:val="008C6F12"/>
    <w:rsid w:val="008C70F9"/>
    <w:rsid w:val="008C790A"/>
    <w:rsid w:val="008D1A67"/>
    <w:rsid w:val="008E3EFA"/>
    <w:rsid w:val="008E659C"/>
    <w:rsid w:val="00915084"/>
    <w:rsid w:val="00931532"/>
    <w:rsid w:val="00952D24"/>
    <w:rsid w:val="00954298"/>
    <w:rsid w:val="00966A70"/>
    <w:rsid w:val="009712DD"/>
    <w:rsid w:val="0097489C"/>
    <w:rsid w:val="00984EFF"/>
    <w:rsid w:val="00985ACF"/>
    <w:rsid w:val="009A5BDB"/>
    <w:rsid w:val="009C274F"/>
    <w:rsid w:val="009D1D6C"/>
    <w:rsid w:val="00A07BDD"/>
    <w:rsid w:val="00A15771"/>
    <w:rsid w:val="00A20961"/>
    <w:rsid w:val="00A243E0"/>
    <w:rsid w:val="00A25521"/>
    <w:rsid w:val="00A37A16"/>
    <w:rsid w:val="00AA01DC"/>
    <w:rsid w:val="00AB4E5E"/>
    <w:rsid w:val="00AD5ADB"/>
    <w:rsid w:val="00AD732E"/>
    <w:rsid w:val="00AE0800"/>
    <w:rsid w:val="00AE4086"/>
    <w:rsid w:val="00AF547C"/>
    <w:rsid w:val="00B05595"/>
    <w:rsid w:val="00B113CA"/>
    <w:rsid w:val="00B1603B"/>
    <w:rsid w:val="00B455A3"/>
    <w:rsid w:val="00B47BF3"/>
    <w:rsid w:val="00B657C4"/>
    <w:rsid w:val="00B87B57"/>
    <w:rsid w:val="00B900A8"/>
    <w:rsid w:val="00B910BF"/>
    <w:rsid w:val="00BA0CC0"/>
    <w:rsid w:val="00BA7CDB"/>
    <w:rsid w:val="00C03E68"/>
    <w:rsid w:val="00C15388"/>
    <w:rsid w:val="00C2141A"/>
    <w:rsid w:val="00C41015"/>
    <w:rsid w:val="00C43BAE"/>
    <w:rsid w:val="00C82BC6"/>
    <w:rsid w:val="00C90F7A"/>
    <w:rsid w:val="00C9157C"/>
    <w:rsid w:val="00C9252B"/>
    <w:rsid w:val="00CA5102"/>
    <w:rsid w:val="00CB4FF8"/>
    <w:rsid w:val="00CB7A0C"/>
    <w:rsid w:val="00CB7BE9"/>
    <w:rsid w:val="00CE6E0A"/>
    <w:rsid w:val="00D1181D"/>
    <w:rsid w:val="00D20930"/>
    <w:rsid w:val="00D36EF2"/>
    <w:rsid w:val="00D373D7"/>
    <w:rsid w:val="00D37699"/>
    <w:rsid w:val="00D40E18"/>
    <w:rsid w:val="00D41985"/>
    <w:rsid w:val="00D44334"/>
    <w:rsid w:val="00D6433A"/>
    <w:rsid w:val="00D72685"/>
    <w:rsid w:val="00DA18AE"/>
    <w:rsid w:val="00DA6CD6"/>
    <w:rsid w:val="00DA7508"/>
    <w:rsid w:val="00DD25C1"/>
    <w:rsid w:val="00DE067F"/>
    <w:rsid w:val="00DF5E3D"/>
    <w:rsid w:val="00E2327A"/>
    <w:rsid w:val="00E422DC"/>
    <w:rsid w:val="00E45B51"/>
    <w:rsid w:val="00E549C2"/>
    <w:rsid w:val="00E56637"/>
    <w:rsid w:val="00E91FA0"/>
    <w:rsid w:val="00EB77D9"/>
    <w:rsid w:val="00ED3A78"/>
    <w:rsid w:val="00EE6247"/>
    <w:rsid w:val="00EF1165"/>
    <w:rsid w:val="00F23CC5"/>
    <w:rsid w:val="00F75ED2"/>
    <w:rsid w:val="00F764A9"/>
    <w:rsid w:val="00FE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5E29A"/>
  <w15:chartTrackingRefBased/>
  <w15:docId w15:val="{06AB3BE6-D6F4-4ACF-9FC6-7DAD123C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16B76"/>
    <w:rPr>
      <w:rFonts w:ascii="Tahoma" w:hAnsi="Tahoma" w:cs="Tahoma"/>
      <w:sz w:val="16"/>
      <w:szCs w:val="16"/>
    </w:rPr>
  </w:style>
  <w:style w:type="paragraph" w:customStyle="1" w:styleId="BodyTextLeft">
    <w:name w:val="Body Text Left"/>
    <w:basedOn w:val="Normal"/>
    <w:next w:val="BodyText"/>
    <w:rsid w:val="00E91FA0"/>
    <w:pPr>
      <w:overflowPunct w:val="0"/>
      <w:autoSpaceDE w:val="0"/>
      <w:autoSpaceDN w:val="0"/>
      <w:adjustRightInd w:val="0"/>
      <w:spacing w:after="240"/>
      <w:jc w:val="both"/>
      <w:textAlignment w:val="baseline"/>
    </w:pPr>
  </w:style>
  <w:style w:type="table" w:styleId="TableGrid">
    <w:name w:val="Table Grid"/>
    <w:basedOn w:val="TableNormal"/>
    <w:rsid w:val="00E91FA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91FA0"/>
    <w:pPr>
      <w:spacing w:after="120"/>
    </w:pPr>
  </w:style>
  <w:style w:type="paragraph" w:styleId="Footer">
    <w:name w:val="footer"/>
    <w:basedOn w:val="Normal"/>
    <w:rsid w:val="00D1181D"/>
    <w:pPr>
      <w:tabs>
        <w:tab w:val="center" w:pos="4320"/>
        <w:tab w:val="right" w:pos="8640"/>
      </w:tabs>
    </w:pPr>
  </w:style>
  <w:style w:type="character" w:styleId="PageNumber">
    <w:name w:val="page number"/>
    <w:basedOn w:val="DefaultParagraphFont"/>
    <w:rsid w:val="00D1181D"/>
  </w:style>
  <w:style w:type="character" w:customStyle="1" w:styleId="BodyTextChar">
    <w:name w:val="Body Text Char"/>
    <w:basedOn w:val="DefaultParagraphFont"/>
    <w:link w:val="BodyText"/>
    <w:rsid w:val="00D40E18"/>
    <w:rPr>
      <w:sz w:val="24"/>
      <w:szCs w:val="24"/>
    </w:rPr>
  </w:style>
  <w:style w:type="paragraph" w:styleId="Header">
    <w:name w:val="header"/>
    <w:basedOn w:val="Normal"/>
    <w:link w:val="HeaderChar"/>
    <w:rsid w:val="00B910BF"/>
    <w:pPr>
      <w:tabs>
        <w:tab w:val="center" w:pos="4680"/>
        <w:tab w:val="right" w:pos="9360"/>
      </w:tabs>
    </w:pPr>
  </w:style>
  <w:style w:type="character" w:customStyle="1" w:styleId="HeaderChar">
    <w:name w:val="Header Char"/>
    <w:basedOn w:val="DefaultParagraphFont"/>
    <w:link w:val="Header"/>
    <w:rsid w:val="00B910BF"/>
    <w:rPr>
      <w:sz w:val="24"/>
      <w:szCs w:val="24"/>
    </w:rPr>
  </w:style>
  <w:style w:type="paragraph" w:styleId="NormalWeb">
    <w:name w:val="Normal (Web)"/>
    <w:basedOn w:val="Normal"/>
    <w:uiPriority w:val="99"/>
    <w:unhideWhenUsed/>
    <w:rsid w:val="00985AC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Rodney B. Younker</dc:creator>
  <cp:lastModifiedBy>Shawn Hazboun</cp:lastModifiedBy>
  <cp:revision>3</cp:revision>
  <cp:lastPrinted>2020-04-14T19:43:00Z</cp:lastPrinted>
  <dcterms:created xsi:type="dcterms:W3CDTF">2021-02-08T23:14:00Z</dcterms:created>
  <dcterms:modified xsi:type="dcterms:W3CDTF">2021-02-09T05:56:00Z</dcterms:modified>
</cp:coreProperties>
</file>